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Default="009E0861" w:rsidP="001A3973">
      <w:pPr>
        <w:tabs>
          <w:tab w:val="left" w:pos="1843"/>
        </w:tabs>
        <w:spacing w:after="0" w:line="360" w:lineRule="auto"/>
        <w:jc w:val="both"/>
        <w:rPr>
          <w:rFonts w:ascii="Palatino Linotype" w:hAnsi="Palatino Linotype" w:cs="Tahoma"/>
          <w:b/>
          <w:caps/>
        </w:rPr>
      </w:pPr>
      <w:r w:rsidRPr="00C56B73">
        <w:rPr>
          <w:rFonts w:ascii="Palatino Linotype" w:hAnsi="Palatino Linotype" w:cs="Tahoma"/>
          <w:b/>
        </w:rPr>
        <w:t xml:space="preserve">VOTO PARTICULAR QUE FORMULA EL COMISIONADO LUIS GUSTAVO PARRA NORIEGA, </w:t>
      </w:r>
      <w:r w:rsidR="007A3584" w:rsidRPr="00C56B73">
        <w:rPr>
          <w:rFonts w:ascii="Palatino Linotype" w:hAnsi="Palatino Linotype" w:cs="Tahoma"/>
          <w:b/>
        </w:rPr>
        <w:t>A</w:t>
      </w:r>
      <w:r w:rsidRPr="00C56B73">
        <w:rPr>
          <w:rFonts w:ascii="Palatino Linotype" w:hAnsi="Palatino Linotype" w:cs="Tahoma"/>
          <w:b/>
        </w:rPr>
        <w:t xml:space="preserve"> LA RESOLUCIÓN DEL RECURSO DE REVISIÓN </w:t>
      </w:r>
      <w:r w:rsidR="001A3973" w:rsidRPr="00C56B73">
        <w:rPr>
          <w:rFonts w:ascii="Palatino Linotype" w:hAnsi="Palatino Linotype" w:cs="Tahoma"/>
          <w:b/>
        </w:rPr>
        <w:t>0</w:t>
      </w:r>
      <w:r w:rsidR="007A3584" w:rsidRPr="00C56B73">
        <w:rPr>
          <w:rFonts w:ascii="Palatino Linotype" w:hAnsi="Palatino Linotype" w:cs="Tahoma"/>
          <w:b/>
        </w:rPr>
        <w:t>4</w:t>
      </w:r>
      <w:r w:rsidR="00CD4B46">
        <w:rPr>
          <w:rFonts w:ascii="Palatino Linotype" w:hAnsi="Palatino Linotype" w:cs="Tahoma"/>
          <w:b/>
        </w:rPr>
        <w:t>62</w:t>
      </w:r>
      <w:r w:rsidR="007A3584" w:rsidRPr="00C56B73">
        <w:rPr>
          <w:rFonts w:ascii="Palatino Linotype" w:hAnsi="Palatino Linotype" w:cs="Tahoma"/>
          <w:b/>
        </w:rPr>
        <w:t>0</w:t>
      </w:r>
      <w:r w:rsidR="00DE4452" w:rsidRPr="00C56B73">
        <w:rPr>
          <w:rFonts w:ascii="Palatino Linotype" w:hAnsi="Palatino Linotype" w:cs="Tahoma"/>
          <w:b/>
        </w:rPr>
        <w:t>/INFOEM/IP/RR/</w:t>
      </w:r>
      <w:r w:rsidR="00592A1B" w:rsidRPr="00C56B73">
        <w:rPr>
          <w:rFonts w:ascii="Palatino Linotype" w:hAnsi="Palatino Linotype" w:cs="Tahoma"/>
          <w:b/>
        </w:rPr>
        <w:t>2018</w:t>
      </w:r>
      <w:r w:rsidRPr="00C56B73">
        <w:rPr>
          <w:rFonts w:ascii="Palatino Linotype" w:hAnsi="Palatino Linotype" w:cs="Tahoma"/>
          <w:b/>
          <w:caps/>
        </w:rPr>
        <w:t>,</w:t>
      </w:r>
      <w:r w:rsidRPr="00C56B73">
        <w:rPr>
          <w:rFonts w:ascii="Palatino Linotype" w:hAnsi="Palatino Linotype" w:cs="Tahoma"/>
          <w:b/>
        </w:rPr>
        <w:t xml:space="preserve"> PROMOVIDO EN </w:t>
      </w:r>
      <w:r w:rsidR="00592A1B" w:rsidRPr="00C56B73">
        <w:rPr>
          <w:rFonts w:ascii="Palatino Linotype" w:hAnsi="Palatino Linotype" w:cs="Tahoma"/>
          <w:b/>
        </w:rPr>
        <w:t xml:space="preserve">CONTRA </w:t>
      </w:r>
      <w:r w:rsidR="00592A1B" w:rsidRPr="00C56B73">
        <w:rPr>
          <w:rFonts w:ascii="Palatino Linotype" w:hAnsi="Palatino Linotype" w:cs="Tahoma"/>
          <w:b/>
          <w:caps/>
        </w:rPr>
        <w:t>de</w:t>
      </w:r>
      <w:r w:rsidR="00CD4B46">
        <w:rPr>
          <w:rFonts w:ascii="Palatino Linotype" w:hAnsi="Palatino Linotype" w:cs="Tahoma"/>
          <w:b/>
          <w:caps/>
        </w:rPr>
        <w:t>L AYUNTAMIENTO DE JOQUICINGO</w:t>
      </w:r>
      <w:r w:rsidR="001A3973" w:rsidRPr="00C56B73">
        <w:rPr>
          <w:rFonts w:ascii="Palatino Linotype" w:hAnsi="Palatino Linotype" w:cs="Tahoma"/>
          <w:b/>
          <w:caps/>
        </w:rPr>
        <w:t>.</w:t>
      </w:r>
    </w:p>
    <w:p w:rsidR="001A3973" w:rsidRPr="003424F7" w:rsidRDefault="001A3973" w:rsidP="001A3973">
      <w:pPr>
        <w:tabs>
          <w:tab w:val="left" w:pos="1843"/>
        </w:tabs>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w:t>
      </w:r>
      <w:r w:rsidRPr="00C56B73">
        <w:rPr>
          <w:rFonts w:ascii="Palatino Linotype" w:hAnsi="Palatino Linotype" w:cs="Tahoma"/>
        </w:rPr>
        <w:t xml:space="preserve">México y Municipios, emito el presente </w:t>
      </w:r>
      <w:r w:rsidRPr="00C56B73">
        <w:rPr>
          <w:rFonts w:ascii="Palatino Linotype" w:hAnsi="Palatino Linotype" w:cs="Tahoma"/>
          <w:b/>
        </w:rPr>
        <w:t>Voto Particular</w:t>
      </w:r>
      <w:r w:rsidRPr="00C56B73">
        <w:rPr>
          <w:rFonts w:ascii="Palatino Linotype" w:hAnsi="Palatino Linotype" w:cs="Tahoma"/>
        </w:rPr>
        <w:t xml:space="preserve"> por no compartir en su totalidad las consideraciones que sustentan la Resolución del Recurso de Revisión </w:t>
      </w:r>
      <w:r w:rsidR="00A742D1" w:rsidRPr="00C56B73">
        <w:rPr>
          <w:rFonts w:ascii="Palatino Linotype" w:hAnsi="Palatino Linotype" w:cs="Tahoma"/>
        </w:rPr>
        <w:t>0</w:t>
      </w:r>
      <w:r w:rsidR="00C56B73" w:rsidRPr="00C56B73">
        <w:rPr>
          <w:rFonts w:ascii="Palatino Linotype" w:hAnsi="Palatino Linotype" w:cs="Tahoma"/>
        </w:rPr>
        <w:t>4</w:t>
      </w:r>
      <w:r w:rsidR="002D62AF">
        <w:rPr>
          <w:rFonts w:ascii="Palatino Linotype" w:hAnsi="Palatino Linotype" w:cs="Tahoma"/>
        </w:rPr>
        <w:t>62</w:t>
      </w:r>
      <w:r w:rsidR="00C56B73" w:rsidRPr="00C56B73">
        <w:rPr>
          <w:rFonts w:ascii="Palatino Linotype" w:hAnsi="Palatino Linotype" w:cs="Tahoma"/>
        </w:rPr>
        <w:t>0</w:t>
      </w:r>
      <w:r w:rsidR="00A742D1" w:rsidRPr="00C56B73">
        <w:rPr>
          <w:rFonts w:ascii="Palatino Linotype" w:hAnsi="Palatino Linotype" w:cs="Tahoma"/>
        </w:rPr>
        <w:t>/INFOEM/IP/RR/</w:t>
      </w:r>
      <w:r w:rsidR="00104333" w:rsidRPr="00C56B73">
        <w:rPr>
          <w:rFonts w:ascii="Palatino Linotype" w:hAnsi="Palatino Linotype" w:cs="Tahoma"/>
        </w:rPr>
        <w:t>2018</w:t>
      </w:r>
      <w:r w:rsidR="001A3973" w:rsidRPr="00C56B73">
        <w:rPr>
          <w:rFonts w:ascii="Palatino Linotype" w:hAnsi="Palatino Linotype" w:cs="Tahoma"/>
        </w:rPr>
        <w:t>.</w:t>
      </w:r>
      <w:r w:rsidR="001A3973">
        <w:rPr>
          <w:rFonts w:ascii="Palatino Linotype" w:hAnsi="Palatino Linotype" w:cs="Tahoma"/>
        </w:rPr>
        <w:t xml:space="preserve"> </w:t>
      </w:r>
    </w:p>
    <w:p w:rsidR="009E0861" w:rsidRPr="003424F7" w:rsidRDefault="009E0861" w:rsidP="00D62C09">
      <w:pPr>
        <w:spacing w:after="0" w:line="360" w:lineRule="auto"/>
        <w:jc w:val="both"/>
        <w:rPr>
          <w:rFonts w:ascii="Palatino Linotype" w:hAnsi="Palatino Linotype" w:cs="Tahoma"/>
        </w:rPr>
      </w:pPr>
    </w:p>
    <w:p w:rsidR="007A3584" w:rsidRDefault="00EA7E26" w:rsidP="000C7FD1">
      <w:pPr>
        <w:spacing w:after="0" w:line="360" w:lineRule="auto"/>
        <w:jc w:val="both"/>
        <w:rPr>
          <w:rFonts w:ascii="Palatino Linotype" w:hAnsi="Palatino Linotype" w:cs="Tahoma"/>
        </w:rPr>
      </w:pPr>
      <w:r w:rsidRPr="003424F7">
        <w:rPr>
          <w:rFonts w:ascii="Palatino Linotype" w:hAnsi="Palatino Linotype" w:cs="Tahoma"/>
        </w:rPr>
        <w:t>C</w:t>
      </w:r>
      <w:r w:rsidR="009E0861" w:rsidRPr="003424F7">
        <w:rPr>
          <w:rFonts w:ascii="Palatino Linotype" w:hAnsi="Palatino Linotype" w:cs="Tahoma"/>
        </w:rPr>
        <w:t xml:space="preserve">omo se desprende de la </w:t>
      </w:r>
      <w:r w:rsidR="004E2E30">
        <w:rPr>
          <w:rFonts w:ascii="Palatino Linotype" w:hAnsi="Palatino Linotype" w:cs="Tahoma"/>
        </w:rPr>
        <w:t>R</w:t>
      </w:r>
      <w:r w:rsidR="009E0861" w:rsidRPr="003424F7">
        <w:rPr>
          <w:rFonts w:ascii="Palatino Linotype" w:hAnsi="Palatino Linotype" w:cs="Tahoma"/>
        </w:rPr>
        <w:t xml:space="preserve">esolución </w:t>
      </w:r>
      <w:r w:rsidRPr="003424F7">
        <w:rPr>
          <w:rFonts w:ascii="Palatino Linotype" w:hAnsi="Palatino Linotype" w:cs="Tahoma"/>
        </w:rPr>
        <w:t>que nos ocupa</w:t>
      </w:r>
      <w:r w:rsidR="001A3973">
        <w:rPr>
          <w:rFonts w:ascii="Palatino Linotype" w:hAnsi="Palatino Linotype" w:cs="Tahoma"/>
        </w:rPr>
        <w:t xml:space="preserve">, </w:t>
      </w:r>
      <w:r w:rsidR="00C56B73">
        <w:rPr>
          <w:rFonts w:ascii="Palatino Linotype" w:hAnsi="Palatino Linotype" w:cs="Tahoma"/>
        </w:rPr>
        <w:t>el</w:t>
      </w:r>
      <w:r w:rsidR="00627F2B" w:rsidRPr="003424F7">
        <w:rPr>
          <w:rFonts w:ascii="Palatino Linotype" w:hAnsi="Palatino Linotype" w:cs="Tahoma"/>
        </w:rPr>
        <w:t xml:space="preserve"> entonces solicitante requirió</w:t>
      </w:r>
      <w:r w:rsidR="00C56B73">
        <w:rPr>
          <w:rFonts w:ascii="Palatino Linotype" w:hAnsi="Palatino Linotype" w:cs="Tahoma"/>
        </w:rPr>
        <w:t xml:space="preserve"> </w:t>
      </w:r>
      <w:r w:rsidR="002D62AF">
        <w:rPr>
          <w:rFonts w:ascii="Palatino Linotype" w:hAnsi="Palatino Linotype" w:cs="Tahoma"/>
        </w:rPr>
        <w:t>diversa información relacionada con el ejercicio de recursos públicos y la recaudación de contribuciones relacionadas con e</w:t>
      </w:r>
      <w:r w:rsidR="00F0434B">
        <w:rPr>
          <w:rFonts w:ascii="Palatino Linotype" w:hAnsi="Palatino Linotype" w:cs="Tahoma"/>
        </w:rPr>
        <w:t>l servicio de alumbrado público.</w:t>
      </w:r>
    </w:p>
    <w:p w:rsidR="001A3973" w:rsidRPr="00C56B73" w:rsidRDefault="001A3973" w:rsidP="00C56B73">
      <w:pPr>
        <w:spacing w:after="0" w:line="360" w:lineRule="auto"/>
        <w:ind w:right="616"/>
        <w:jc w:val="both"/>
        <w:rPr>
          <w:rFonts w:ascii="Palatino Linotype" w:eastAsia="Arial Unicode MS" w:hAnsi="Palatino Linotype" w:cs="Tahoma"/>
          <w:i/>
        </w:rPr>
      </w:pPr>
    </w:p>
    <w:p w:rsidR="00F0434B" w:rsidRDefault="00C56B73" w:rsidP="00D62C09">
      <w:pPr>
        <w:spacing w:after="0" w:line="360" w:lineRule="auto"/>
        <w:jc w:val="both"/>
        <w:rPr>
          <w:rFonts w:ascii="Palatino Linotype" w:eastAsia="Arial Unicode MS" w:hAnsi="Palatino Linotype" w:cs="Tahoma"/>
        </w:rPr>
      </w:pPr>
      <w:r w:rsidRPr="00C56B73">
        <w:rPr>
          <w:rFonts w:ascii="Palatino Linotype" w:eastAsia="Arial Unicode MS" w:hAnsi="Palatino Linotype" w:cs="Tahoma"/>
        </w:rPr>
        <w:t>A</w:t>
      </w:r>
      <w:r>
        <w:rPr>
          <w:rFonts w:ascii="Palatino Linotype" w:eastAsia="Arial Unicode MS" w:hAnsi="Palatino Linotype" w:cs="Tahoma"/>
        </w:rPr>
        <w:t xml:space="preserve">nte la respuesta del Sujeto Obligado de no entregar los documentos en donde consta el ejercicio de gasto público solicitado, mediante un análisis detallado la Ponencia Resolutora determina ordenar la entrega de los documentos (facturas de pago) </w:t>
      </w:r>
      <w:r w:rsidR="00F0434B">
        <w:rPr>
          <w:rFonts w:ascii="Palatino Linotype" w:eastAsia="Arial Unicode MS" w:hAnsi="Palatino Linotype" w:cs="Tahoma"/>
        </w:rPr>
        <w:t>en donde consten las erogaciones de interés del Recurrente.</w:t>
      </w:r>
    </w:p>
    <w:p w:rsidR="00F0434B" w:rsidRDefault="00F0434B" w:rsidP="00D62C09">
      <w:pPr>
        <w:spacing w:after="0" w:line="360" w:lineRule="auto"/>
        <w:jc w:val="both"/>
        <w:rPr>
          <w:rFonts w:ascii="Palatino Linotype" w:eastAsia="Arial Unicode MS" w:hAnsi="Palatino Linotype" w:cs="Tahoma"/>
        </w:rPr>
      </w:pPr>
    </w:p>
    <w:p w:rsidR="00F0434B" w:rsidRDefault="00F0434B"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En este sentido, dentro de la Resolución se precisa lo siguiente:</w:t>
      </w:r>
    </w:p>
    <w:p w:rsidR="00F0434B" w:rsidRDefault="00F0434B" w:rsidP="00D62C09">
      <w:pPr>
        <w:spacing w:after="0" w:line="360" w:lineRule="auto"/>
        <w:jc w:val="both"/>
        <w:rPr>
          <w:rFonts w:ascii="Palatino Linotype" w:eastAsia="Arial Unicode MS" w:hAnsi="Palatino Linotype" w:cs="Tahoma"/>
        </w:rPr>
      </w:pPr>
    </w:p>
    <w:p w:rsidR="00F0434B" w:rsidRPr="00F0434B" w:rsidRDefault="00F0434B" w:rsidP="00F0434B">
      <w:pPr>
        <w:spacing w:after="0" w:line="360" w:lineRule="auto"/>
        <w:ind w:left="567" w:right="567"/>
        <w:jc w:val="both"/>
        <w:rPr>
          <w:rFonts w:ascii="Palatino Linotype" w:eastAsia="Arial Unicode MS" w:hAnsi="Palatino Linotype" w:cs="Tahoma"/>
          <w:sz w:val="20"/>
          <w:szCs w:val="20"/>
        </w:rPr>
      </w:pPr>
      <w:r w:rsidRPr="00F0434B">
        <w:rPr>
          <w:rFonts w:ascii="Palatino Linotype" w:eastAsia="Arial Unicode MS" w:hAnsi="Palatino Linotype" w:cs="Tahoma"/>
          <w:sz w:val="20"/>
          <w:szCs w:val="20"/>
        </w:rPr>
        <w:lastRenderedPageBreak/>
        <w:t xml:space="preserve"> En el caso específico, las pólizas, cheques, facturas, si bien tienen el carácter información pública en razón de que se trata de documentos que se encuentran en posesión del Sujeto Obligado, derivado del ejercicio de sus atribuciones, 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así como las firmas de los interesados como el número de cuenta bancaria, Cadenas Originales del Sellos Digitales y los Códigos Bidimensionales, también denominados Códigos QR, estos son datos susceptibles de clasificarse como confidenciales mediante una versión pública que deje a la vista los datos que ofrezcan la información requerida y</w:t>
      </w:r>
      <w:r w:rsidRPr="00F0434B">
        <w:rPr>
          <w:sz w:val="20"/>
          <w:szCs w:val="20"/>
        </w:rPr>
        <w:t xml:space="preserve"> </w:t>
      </w:r>
      <w:r w:rsidRPr="00F0434B">
        <w:rPr>
          <w:rFonts w:ascii="Palatino Linotype" w:eastAsia="Arial Unicode MS" w:hAnsi="Palatino Linotype" w:cs="Tahoma"/>
          <w:sz w:val="20"/>
          <w:szCs w:val="20"/>
        </w:rPr>
        <w:t>aquellos datos personales concernientes a la vida privada de las personas que pudieran contener los citados documentos.</w:t>
      </w:r>
    </w:p>
    <w:p w:rsidR="00F0434B" w:rsidRDefault="00F0434B" w:rsidP="00D62C09">
      <w:pPr>
        <w:spacing w:after="0" w:line="360" w:lineRule="auto"/>
        <w:jc w:val="both"/>
        <w:rPr>
          <w:rFonts w:ascii="Palatino Linotype" w:eastAsia="Arial Unicode MS" w:hAnsi="Palatino Linotype" w:cs="Tahoma"/>
        </w:rPr>
      </w:pPr>
    </w:p>
    <w:p w:rsidR="00C56B73" w:rsidRDefault="00C56B73" w:rsidP="00F0434B">
      <w:pPr>
        <w:spacing w:after="0" w:line="360" w:lineRule="auto"/>
        <w:jc w:val="both"/>
        <w:rPr>
          <w:rFonts w:ascii="Palatino Linotype" w:eastAsia="Arial Unicode MS" w:hAnsi="Palatino Linotype" w:cs="Tahoma"/>
        </w:rPr>
      </w:pPr>
      <w:r>
        <w:rPr>
          <w:rFonts w:ascii="Palatino Linotype" w:eastAsia="Arial Unicode MS" w:hAnsi="Palatino Linotype" w:cs="Tahoma"/>
        </w:rPr>
        <w:t>Dicho documento debe entregar</w:t>
      </w:r>
      <w:r w:rsidR="005B0288">
        <w:rPr>
          <w:rFonts w:ascii="Palatino Linotype" w:eastAsia="Arial Unicode MS" w:hAnsi="Palatino Linotype" w:cs="Tahoma"/>
        </w:rPr>
        <w:t>se</w:t>
      </w:r>
      <w:r>
        <w:rPr>
          <w:rFonts w:ascii="Palatino Linotype" w:eastAsia="Arial Unicode MS" w:hAnsi="Palatino Linotype" w:cs="Tahoma"/>
        </w:rPr>
        <w:t xml:space="preserve"> en versión pública, con su respectivo acuerdo del Comité de Transparencia; sin embargo, el punto que no se comparte versa únicamente sobre la instrucción de los términos en los que se debe hacer la versión pública; esto es, </w:t>
      </w:r>
      <w:r w:rsidR="005B0288">
        <w:rPr>
          <w:rFonts w:ascii="Palatino Linotype" w:eastAsia="Arial Unicode MS" w:hAnsi="Palatino Linotype" w:cs="Tahoma"/>
        </w:rPr>
        <w:t>eliminando de las facturas las cadenas originales</w:t>
      </w:r>
      <w:r w:rsidR="00F0434B">
        <w:rPr>
          <w:rFonts w:ascii="Palatino Linotype" w:eastAsia="Arial Unicode MS" w:hAnsi="Palatino Linotype" w:cs="Tahoma"/>
        </w:rPr>
        <w:t>.</w:t>
      </w:r>
    </w:p>
    <w:p w:rsidR="00F0434B" w:rsidRPr="005B0288" w:rsidRDefault="00F0434B" w:rsidP="00F0434B">
      <w:pPr>
        <w:spacing w:after="0" w:line="360" w:lineRule="auto"/>
        <w:jc w:val="both"/>
        <w:rPr>
          <w:rFonts w:ascii="Palatino Linotype" w:eastAsia="Arial Unicode MS" w:hAnsi="Palatino Linotype" w:cs="Tahoma"/>
          <w:sz w:val="20"/>
          <w:szCs w:val="20"/>
        </w:rPr>
      </w:pPr>
    </w:p>
    <w:p w:rsidR="00C56B73" w:rsidRPr="00CC10B4" w:rsidRDefault="00C56B73" w:rsidP="00D62C09">
      <w:pPr>
        <w:spacing w:after="0" w:line="360" w:lineRule="auto"/>
        <w:jc w:val="both"/>
        <w:rPr>
          <w:rFonts w:ascii="Palatino Linotype" w:eastAsia="Arial Unicode MS" w:hAnsi="Palatino Linotype" w:cs="Tahoma"/>
          <w:sz w:val="10"/>
          <w:szCs w:val="10"/>
        </w:rPr>
      </w:pPr>
    </w:p>
    <w:p w:rsidR="005139FC" w:rsidRDefault="00D55306"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 xml:space="preserve">Al respecto, </w:t>
      </w:r>
      <w:r w:rsidR="00C05CDF">
        <w:rPr>
          <w:rFonts w:ascii="Palatino Linotype" w:eastAsia="Arial Unicode MS" w:hAnsi="Palatino Linotype" w:cs="Tahoma"/>
        </w:rPr>
        <w:t xml:space="preserve">se emite el presente Voto Particular, dentro de la Resolución </w:t>
      </w:r>
      <w:r w:rsidR="00271A1E">
        <w:rPr>
          <w:rFonts w:ascii="Palatino Linotype" w:eastAsia="Arial Unicode MS" w:hAnsi="Palatino Linotype" w:cs="Tahoma"/>
        </w:rPr>
        <w:t xml:space="preserve">que </w:t>
      </w:r>
      <w:r w:rsidR="00C05CDF">
        <w:rPr>
          <w:rFonts w:ascii="Palatino Linotype" w:eastAsia="Arial Unicode MS" w:hAnsi="Palatino Linotype" w:cs="Tahoma"/>
        </w:rPr>
        <w:t xml:space="preserve">se analiza, en virtud de </w:t>
      </w:r>
      <w:r w:rsidR="005139FC">
        <w:rPr>
          <w:rFonts w:ascii="Palatino Linotype" w:eastAsia="Arial Unicode MS" w:hAnsi="Palatino Linotype" w:cs="Tahoma"/>
        </w:rPr>
        <w:t xml:space="preserve">que si bien, </w:t>
      </w:r>
      <w:r w:rsidR="00C05CDF">
        <w:rPr>
          <w:rFonts w:ascii="Palatino Linotype" w:eastAsia="Arial Unicode MS" w:hAnsi="Palatino Linotype" w:cs="Tahoma"/>
        </w:rPr>
        <w:t>consider</w:t>
      </w:r>
      <w:r w:rsidR="005139FC">
        <w:rPr>
          <w:rFonts w:ascii="Palatino Linotype" w:eastAsia="Arial Unicode MS" w:hAnsi="Palatino Linotype" w:cs="Tahoma"/>
        </w:rPr>
        <w:t>o</w:t>
      </w:r>
      <w:r w:rsidR="00C05CDF">
        <w:rPr>
          <w:rFonts w:ascii="Palatino Linotype" w:eastAsia="Arial Unicode MS" w:hAnsi="Palatino Linotype" w:cs="Tahoma"/>
        </w:rPr>
        <w:t xml:space="preserve"> que los documentos </w:t>
      </w:r>
      <w:r w:rsidR="005B0288">
        <w:rPr>
          <w:rFonts w:ascii="Palatino Linotype" w:eastAsia="Arial Unicode MS" w:hAnsi="Palatino Linotype" w:cs="Tahoma"/>
        </w:rPr>
        <w:t>deben ser entregados en versión pública</w:t>
      </w:r>
      <w:r w:rsidR="000117EA">
        <w:rPr>
          <w:rFonts w:ascii="Palatino Linotype" w:eastAsia="Arial Unicode MS" w:hAnsi="Palatino Linotype" w:cs="Tahoma"/>
        </w:rPr>
        <w:t>, en la que se eliminen los datos personales confidenciales</w:t>
      </w:r>
      <w:r w:rsidR="005139FC">
        <w:rPr>
          <w:rFonts w:ascii="Palatino Linotype" w:eastAsia="Arial Unicode MS" w:hAnsi="Palatino Linotype" w:cs="Tahoma"/>
        </w:rPr>
        <w:t xml:space="preserve"> las cadenas y sellos originales que aparecen en </w:t>
      </w:r>
      <w:r w:rsidR="00F0434B">
        <w:rPr>
          <w:rFonts w:ascii="Palatino Linotype" w:eastAsia="Arial Unicode MS" w:hAnsi="Palatino Linotype" w:cs="Tahoma"/>
        </w:rPr>
        <w:t>las facturas</w:t>
      </w:r>
      <w:bookmarkStart w:id="0" w:name="_GoBack"/>
      <w:bookmarkEnd w:id="0"/>
      <w:r w:rsidR="005139FC">
        <w:rPr>
          <w:rFonts w:ascii="Palatino Linotype" w:eastAsia="Arial Unicode MS" w:hAnsi="Palatino Linotype" w:cs="Tahoma"/>
        </w:rPr>
        <w:t xml:space="preserve"> no contienen datos personales confidenciales </w:t>
      </w:r>
      <w:r w:rsidR="005B0288">
        <w:rPr>
          <w:rFonts w:ascii="Palatino Linotype" w:eastAsia="Arial Unicode MS" w:hAnsi="Palatino Linotype" w:cs="Tahoma"/>
        </w:rPr>
        <w:t xml:space="preserve">de los contribuyentes; como lo refiere la Ponencia Resolutora si bien, sus objetivos constituyen que </w:t>
      </w:r>
      <w:r w:rsidR="005B0288">
        <w:rPr>
          <w:rFonts w:ascii="Palatino Linotype" w:eastAsia="Arial Unicode MS" w:hAnsi="Palatino Linotype" w:cs="Tahoma"/>
        </w:rPr>
        <w:lastRenderedPageBreak/>
        <w:t>la autoridad fiscal pueda identificar la autoría de los comprobantes fiscales, para que alguien distinto a la autoridad fiscal federal; esto es la Secretaría de Hacienda y Crédito Público, a través del Servicio de Administración Tributaria, pueda hacer identificable a la persona con los datos de cadenas y sellos digitales, en requisito indispensable contar con el RFC, del titular de la factura, el cual ha sido determinado como clasificado por tratarse de datos personales confidenciales.</w:t>
      </w:r>
    </w:p>
    <w:p w:rsidR="003D400A" w:rsidRPr="00CC10B4" w:rsidRDefault="003D400A" w:rsidP="00D62C09">
      <w:pPr>
        <w:spacing w:after="0" w:line="360" w:lineRule="auto"/>
        <w:jc w:val="both"/>
        <w:rPr>
          <w:rFonts w:ascii="Palatino Linotype" w:hAnsi="Palatino Linotype" w:cs="Tahoma"/>
          <w:sz w:val="10"/>
          <w:szCs w:val="10"/>
        </w:rPr>
      </w:pPr>
    </w:p>
    <w:p w:rsidR="00B73847" w:rsidRPr="003424F7" w:rsidRDefault="003D400A" w:rsidP="00D62C09">
      <w:pPr>
        <w:spacing w:after="0" w:line="360" w:lineRule="auto"/>
        <w:jc w:val="both"/>
        <w:rPr>
          <w:rFonts w:ascii="Palatino Linotype" w:eastAsia="Arial Unicode MS" w:hAnsi="Palatino Linotype" w:cs="Tahoma"/>
        </w:rPr>
      </w:pPr>
      <w:r>
        <w:rPr>
          <w:rFonts w:ascii="Palatino Linotype" w:hAnsi="Palatino Linotype" w:cs="Tahoma"/>
        </w:rPr>
        <w:t>En efecto, se trata de una serie de números, letras y símbolos que no dan cuenta de</w:t>
      </w:r>
      <w:r w:rsidR="00B2198B">
        <w:rPr>
          <w:rFonts w:ascii="Palatino Linotype" w:hAnsi="Palatino Linotype" w:cs="Tahoma"/>
        </w:rPr>
        <w:t xml:space="preserve">l RFC </w:t>
      </w:r>
      <w:r>
        <w:rPr>
          <w:rFonts w:ascii="Palatino Linotype" w:hAnsi="Palatino Linotype" w:cs="Tahoma"/>
        </w:rPr>
        <w:t>o algún otro dato confidencial</w:t>
      </w:r>
      <w:r w:rsidR="00D6548F" w:rsidRPr="003424F7">
        <w:rPr>
          <w:rFonts w:ascii="Palatino Linotype" w:eastAsia="Arial Unicode MS" w:hAnsi="Palatino Linotype" w:cs="Tahoma"/>
        </w:rPr>
        <w:t xml:space="preserve">. </w:t>
      </w:r>
      <w:r w:rsidR="000117EA">
        <w:rPr>
          <w:rFonts w:ascii="Palatino Linotype" w:eastAsia="Arial Unicode MS" w:hAnsi="Palatino Linotype" w:cs="Tahoma"/>
        </w:rPr>
        <w:t xml:space="preserve"> </w:t>
      </w:r>
      <w:r w:rsidR="00B73847"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00B73847" w:rsidRPr="003424F7">
        <w:rPr>
          <w:rFonts w:ascii="Palatino Linotype" w:eastAsia="Arial Unicode MS" w:hAnsi="Palatino Linotype" w:cs="Tahoma"/>
        </w:rPr>
        <w:t>de un recibo de nómina.</w:t>
      </w:r>
    </w:p>
    <w:p w:rsidR="00B73847" w:rsidRPr="00085241" w:rsidRDefault="00B73847" w:rsidP="00D62C09">
      <w:pPr>
        <w:spacing w:after="0" w:line="360"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377875" cy="16618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545021" cy="1713473"/>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117EA" w:rsidRDefault="00722FE9" w:rsidP="00D62C09">
      <w:pPr>
        <w:spacing w:after="0" w:line="360" w:lineRule="auto"/>
        <w:jc w:val="both"/>
        <w:rPr>
          <w:rFonts w:ascii="Palatino Linotype" w:eastAsia="Arial Unicode MS" w:hAnsi="Palatino Linotype" w:cs="Tahoma"/>
          <w:sz w:val="10"/>
          <w:szCs w:val="10"/>
        </w:rPr>
      </w:pPr>
      <w:r w:rsidRPr="00085241">
        <w:rPr>
          <w:rFonts w:ascii="Palatino Linotype" w:eastAsia="Arial Unicode MS" w:hAnsi="Palatino Linotype" w:cs="Tahoma"/>
          <w:sz w:val="24"/>
          <w:szCs w:val="24"/>
        </w:rPr>
        <w:t xml:space="preserve"> </w:t>
      </w:r>
    </w:p>
    <w:p w:rsidR="00B73847" w:rsidRPr="003424F7"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w:t>
      </w:r>
      <w:r w:rsidR="00B2198B">
        <w:rPr>
          <w:rFonts w:ascii="Palatino Linotype" w:eastAsia="Arial Unicode MS" w:hAnsi="Palatino Linotype" w:cs="Tahoma"/>
        </w:rPr>
        <w:t xml:space="preserve"> y con este a la información de la cadena original</w:t>
      </w:r>
      <w:r w:rsidRPr="003424F7">
        <w:rPr>
          <w:rFonts w:ascii="Palatino Linotype" w:eastAsia="Arial Unicode MS" w:hAnsi="Palatino Linotype" w:cs="Tahoma"/>
        </w:rPr>
        <w:t xml:space="preserve">.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xml:space="preserve">, pues dichos datos sólo son de utilidad de manera directa a la Secretaría de Hacienda y Crédito </w:t>
      </w:r>
      <w:r w:rsidR="002C7EBD" w:rsidRPr="003424F7">
        <w:rPr>
          <w:rFonts w:ascii="Palatino Linotype" w:eastAsia="Arial Unicode MS" w:hAnsi="Palatino Linotype" w:cs="Tahoma"/>
        </w:rPr>
        <w:lastRenderedPageBreak/>
        <w:t>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0117EA" w:rsidRDefault="000117EA" w:rsidP="00D62C09">
      <w:pPr>
        <w:spacing w:after="0" w:line="360" w:lineRule="auto"/>
        <w:jc w:val="both"/>
        <w:rPr>
          <w:rFonts w:ascii="Palatino Linotype" w:eastAsia="Arial Unicode MS" w:hAnsi="Palatino Linotype" w:cs="Tahoma"/>
        </w:rPr>
      </w:pPr>
    </w:p>
    <w:p w:rsidR="004E40F0"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Las cadenas originales y sellos que se agregan a recibos de nómina </w:t>
      </w:r>
      <w:r w:rsidR="00B2198B">
        <w:rPr>
          <w:rFonts w:ascii="Palatino Linotype" w:eastAsia="Arial Unicode MS" w:hAnsi="Palatino Linotype" w:cs="Tahoma"/>
        </w:rPr>
        <w:t>y</w:t>
      </w:r>
      <w:r w:rsidRPr="003424F7">
        <w:rPr>
          <w:rFonts w:ascii="Palatino Linotype" w:eastAsia="Arial Unicode MS" w:hAnsi="Palatino Linotype" w:cs="Tahoma"/>
        </w:rPr>
        <w:t xml:space="preserve">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D62C09">
      <w:pPr>
        <w:spacing w:after="0"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rsidR="00B30925" w:rsidRPr="003424F7" w:rsidRDefault="00B30925" w:rsidP="00D62C09">
      <w:pPr>
        <w:spacing w:after="0" w:line="360" w:lineRule="auto"/>
        <w:jc w:val="both"/>
        <w:rPr>
          <w:rFonts w:ascii="Palatino Linotype" w:eastAsia="Arial Unicode MS" w:hAnsi="Palatino Linotype" w:cs="Tahoma"/>
        </w:rPr>
      </w:pPr>
    </w:p>
    <w:p w:rsidR="00B30925" w:rsidRPr="003424F7" w:rsidRDefault="00B30925"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D62C09">
      <w:pPr>
        <w:spacing w:after="0" w:line="360" w:lineRule="auto"/>
        <w:jc w:val="both"/>
        <w:rPr>
          <w:rFonts w:ascii="Palatino Linotype" w:eastAsia="Arial Unicode MS" w:hAnsi="Palatino Linotype" w:cs="Tahoma"/>
          <w:sz w:val="24"/>
          <w:szCs w:val="24"/>
        </w:rPr>
      </w:pP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La criptografía de Clave Pública se basa en la generación de una pareja de números muy grandes relacionados íntimamente entre sí, de tal manera que una operación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sobre un mensaje tomando como clave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a uno de los dos números, produce un mensaje alterado en su significado que solo puede ser devuelto a </w:t>
      </w:r>
      <w:r w:rsidRPr="00085241">
        <w:rPr>
          <w:rFonts w:ascii="Palatino Linotype" w:hAnsi="Palatino Linotype" w:cs="Arial"/>
          <w:sz w:val="20"/>
          <w:szCs w:val="20"/>
        </w:rPr>
        <w:lastRenderedPageBreak/>
        <w:t xml:space="preserve">su estado original mediante la operación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correspondiente tomando como clave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al otro número de la pareja.</w:t>
      </w:r>
    </w:p>
    <w:p w:rsidR="00B73847" w:rsidRPr="00085241" w:rsidRDefault="00B73847" w:rsidP="00D62C09">
      <w:pPr>
        <w:spacing w:after="0" w:line="360" w:lineRule="auto"/>
        <w:jc w:val="both"/>
        <w:rPr>
          <w:rFonts w:ascii="Palatino Linotype" w:eastAsia="Arial Unicode MS" w:hAnsi="Palatino Linotype" w:cs="Tahoma"/>
          <w:sz w:val="24"/>
          <w:szCs w:val="24"/>
        </w:rPr>
      </w:pPr>
    </w:p>
    <w:p w:rsidR="00A96CE5" w:rsidRPr="003424F7" w:rsidRDefault="00884A10"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se considera que no debe instruirse su eliminación de las versiones p</w:t>
      </w:r>
      <w:r w:rsidR="001354AB">
        <w:rPr>
          <w:rFonts w:ascii="Palatino Linotype" w:eastAsia="Arial Unicode MS" w:hAnsi="Palatino Linotype" w:cs="Tahoma"/>
        </w:rPr>
        <w:t>úblicas, ya que no actualizan el</w:t>
      </w:r>
      <w:r w:rsidR="00A96CE5" w:rsidRPr="003424F7">
        <w:rPr>
          <w:rFonts w:ascii="Palatino Linotype" w:eastAsia="Arial Unicode MS" w:hAnsi="Palatino Linotype" w:cs="Tahoma"/>
        </w:rPr>
        <w:t xml:space="preserve"> supuesto de confidencialidad previsto en el artículo 143, fracción I, de la Ley de Transparencia y Acceso a la Información Pública del 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D62C09">
      <w:pPr>
        <w:spacing w:after="0" w:line="360" w:lineRule="auto"/>
        <w:jc w:val="both"/>
        <w:rPr>
          <w:rFonts w:ascii="Palatino Linotype" w:eastAsia="Arial Unicode MS"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D62C09">
      <w:pPr>
        <w:spacing w:after="0" w:line="360" w:lineRule="auto"/>
        <w:jc w:val="center"/>
        <w:rPr>
          <w:rFonts w:ascii="Palatino Linotype" w:hAnsi="Palatino Linotype" w:cs="Tahoma"/>
        </w:rPr>
      </w:pPr>
    </w:p>
    <w:p w:rsidR="00553ADE" w:rsidRPr="003424F7" w:rsidRDefault="00553ADE" w:rsidP="00D62C09">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Default="00553ADE" w:rsidP="00D62C09">
      <w:pPr>
        <w:spacing w:after="0" w:line="360" w:lineRule="auto"/>
        <w:jc w:val="center"/>
        <w:rPr>
          <w:rFonts w:ascii="Palatino Linotype" w:hAnsi="Palatino Linotype" w:cs="Tahoma"/>
        </w:rPr>
      </w:pPr>
      <w:r w:rsidRPr="003424F7">
        <w:rPr>
          <w:rFonts w:ascii="Palatino Linotype" w:hAnsi="Palatino Linotype" w:cs="Tahoma"/>
        </w:rPr>
        <w:t>Comisionado</w:t>
      </w:r>
    </w:p>
    <w:p w:rsidR="00CC10B4" w:rsidRPr="003424F7" w:rsidRDefault="00CC10B4" w:rsidP="00CC10B4">
      <w:pPr>
        <w:spacing w:after="0" w:line="360" w:lineRule="auto"/>
        <w:jc w:val="center"/>
        <w:rPr>
          <w:rFonts w:ascii="Palatino Linotype" w:hAnsi="Palatino Linotype" w:cs="Tahoma"/>
          <w:b/>
        </w:rPr>
      </w:pPr>
      <w:r w:rsidRPr="003424F7">
        <w:rPr>
          <w:rFonts w:ascii="Palatino Linotype" w:hAnsi="Palatino Linotype" w:cs="Tahoma"/>
          <w:b/>
        </w:rPr>
        <w:t>(Rúbrica)</w:t>
      </w:r>
    </w:p>
    <w:p w:rsidR="00CC10B4" w:rsidRPr="003424F7" w:rsidRDefault="00CC10B4" w:rsidP="00D62C09">
      <w:pPr>
        <w:spacing w:after="0" w:line="360" w:lineRule="auto"/>
        <w:jc w:val="center"/>
        <w:rPr>
          <w:rFonts w:ascii="Palatino Linotype" w:hAnsi="Palatino Linotype" w:cs="Tahoma"/>
        </w:rPr>
      </w:pPr>
    </w:p>
    <w:sectPr w:rsidR="00CC10B4"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C4F" w:rsidRDefault="003B4C4F" w:rsidP="00EE29F6">
      <w:pPr>
        <w:spacing w:after="0" w:line="240" w:lineRule="auto"/>
      </w:pPr>
      <w:r>
        <w:separator/>
      </w:r>
    </w:p>
  </w:endnote>
  <w:endnote w:type="continuationSeparator" w:id="0">
    <w:p w:rsidR="003B4C4F" w:rsidRDefault="003B4C4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0434B">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0434B">
              <w:rPr>
                <w:b/>
                <w:bCs/>
                <w:noProof/>
              </w:rPr>
              <w:t>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C4F" w:rsidRDefault="003B4C4F" w:rsidP="00EE29F6">
      <w:pPr>
        <w:spacing w:after="0" w:line="240" w:lineRule="auto"/>
      </w:pPr>
      <w:r>
        <w:separator/>
      </w:r>
    </w:p>
  </w:footnote>
  <w:footnote w:type="continuationSeparator" w:id="0">
    <w:p w:rsidR="003B4C4F" w:rsidRDefault="003B4C4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085241"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592A1B" w:rsidRDefault="00363357" w:rsidP="00CE1BE1">
          <w:pPr>
            <w:pStyle w:val="Encabezado"/>
            <w:ind w:left="-108" w:right="170"/>
            <w:jc w:val="both"/>
            <w:rPr>
              <w:rFonts w:ascii="Palatino Linotype" w:hAnsi="Palatino Linotype"/>
              <w:b/>
              <w:lang w:val="es-ES_tradnl"/>
            </w:rPr>
          </w:pPr>
          <w:r w:rsidRPr="00085241">
            <w:rPr>
              <w:rFonts w:ascii="Palatino Linotype" w:hAnsi="Palatino Linotype" w:cs="Tahoma"/>
              <w:b/>
            </w:rPr>
            <w:t>Recurso de Revisión:</w:t>
          </w:r>
          <w:r w:rsidR="007A3584">
            <w:rPr>
              <w:rFonts w:ascii="Palatino Linotype" w:hAnsi="Palatino Linotype" w:cs="Tahoma"/>
              <w:b/>
            </w:rPr>
            <w:t xml:space="preserve"> </w:t>
          </w:r>
          <w:r w:rsidR="007A3584" w:rsidRPr="007A3584">
            <w:rPr>
              <w:rFonts w:ascii="Palatino Linotype" w:hAnsi="Palatino Linotype" w:cs="Tahoma"/>
              <w:b/>
            </w:rPr>
            <w:t>04</w:t>
          </w:r>
          <w:r w:rsidR="00CD4B46">
            <w:rPr>
              <w:rFonts w:ascii="Palatino Linotype" w:hAnsi="Palatino Linotype" w:cs="Tahoma"/>
              <w:b/>
            </w:rPr>
            <w:t>620</w:t>
          </w:r>
          <w:r w:rsidR="007A3584" w:rsidRPr="007A3584">
            <w:rPr>
              <w:rFonts w:ascii="Palatino Linotype" w:hAnsi="Palatino Linotype" w:cs="Tahoma"/>
              <w:b/>
            </w:rPr>
            <w:t>/</w:t>
          </w:r>
          <w:r w:rsidR="00CD4B46">
            <w:rPr>
              <w:rFonts w:ascii="Palatino Linotype" w:hAnsi="Palatino Linotype" w:cs="Tahoma"/>
              <w:b/>
            </w:rPr>
            <w:t>INFOEM/IP/RR/2018</w:t>
          </w:r>
          <w:r w:rsidR="001A3973">
            <w:rPr>
              <w:rFonts w:ascii="Palatino Linotype" w:hAnsi="Palatino Linotype"/>
              <w:b/>
              <w:lang w:val="es-ES_tradnl"/>
            </w:rPr>
            <w:t>.</w:t>
          </w:r>
        </w:p>
        <w:p w:rsidR="00CE1BE1" w:rsidRDefault="00CE1BE1" w:rsidP="00CE1BE1">
          <w:pPr>
            <w:pStyle w:val="Encabezado"/>
            <w:ind w:left="-108" w:right="170"/>
            <w:jc w:val="both"/>
            <w:rPr>
              <w:rFonts w:ascii="Palatino Linotype" w:hAnsi="Palatino Linotype"/>
              <w:b/>
              <w:lang w:val="es-MX"/>
            </w:rPr>
          </w:pPr>
          <w:r>
            <w:rPr>
              <w:rFonts w:ascii="Palatino Linotype" w:hAnsi="Palatino Linotype" w:cs="Tahoma"/>
              <w:b/>
            </w:rPr>
            <w:t>Sujeto Obligado:</w:t>
          </w:r>
          <w:r w:rsidR="007A3584">
            <w:rPr>
              <w:rFonts w:ascii="Palatino Linotype" w:hAnsi="Palatino Linotype" w:cs="Tahoma"/>
              <w:b/>
            </w:rPr>
            <w:t xml:space="preserve"> </w:t>
          </w:r>
          <w:r w:rsidR="00CD4B46">
            <w:rPr>
              <w:rFonts w:ascii="Palatino Linotype" w:hAnsi="Palatino Linotype" w:cs="Tahoma"/>
              <w:b/>
            </w:rPr>
            <w:t>Ayuntamiento de Joquicingo</w:t>
          </w:r>
          <w:r>
            <w:rPr>
              <w:rFonts w:ascii="Palatino Linotype" w:hAnsi="Palatino Linotype"/>
              <w:b/>
              <w:lang w:val="es-MX"/>
            </w:rPr>
            <w:t>.</w:t>
          </w:r>
        </w:p>
        <w:p w:rsidR="00363357"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 xml:space="preserve">Comisionada Ponente: </w:t>
          </w:r>
          <w:r w:rsidR="007A3584">
            <w:rPr>
              <w:rFonts w:ascii="Palatino Linotype" w:hAnsi="Palatino Linotype" w:cs="Tahoma"/>
              <w:b/>
            </w:rPr>
            <w:t>Zulema Martínez Sánchez</w:t>
          </w:r>
          <w:r w:rsidR="00CE1BE1">
            <w:rPr>
              <w:rFonts w:ascii="Palatino Linotype" w:hAnsi="Palatino Linotype" w:cs="Tahoma"/>
              <w:b/>
            </w:rPr>
            <w:t xml:space="preserve">. </w:t>
          </w:r>
        </w:p>
        <w:p w:rsidR="0097366F" w:rsidRPr="001106EA" w:rsidRDefault="0097366F" w:rsidP="00CE1BE1">
          <w:pPr>
            <w:pStyle w:val="Encabezado"/>
            <w:ind w:left="-108" w:right="17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05055"/>
    <w:multiLevelType w:val="hybridMultilevel"/>
    <w:tmpl w:val="015A1BEA"/>
    <w:lvl w:ilvl="0" w:tplc="B50039E8">
      <w:start w:val="1"/>
      <w:numFmt w:val="lowerLetter"/>
      <w:lvlText w:val="%1."/>
      <w:lvlJc w:val="left"/>
      <w:pPr>
        <w:ind w:left="927" w:hanging="360"/>
      </w:pPr>
      <w:rPr>
        <w:rFonts w:eastAsiaTheme="minorHAnsi" w:cs="Arial"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C7FD1"/>
    <w:rsid w:val="000D186F"/>
    <w:rsid w:val="00104333"/>
    <w:rsid w:val="0010688C"/>
    <w:rsid w:val="001106EA"/>
    <w:rsid w:val="001159DC"/>
    <w:rsid w:val="0011653D"/>
    <w:rsid w:val="00116E1A"/>
    <w:rsid w:val="001336CC"/>
    <w:rsid w:val="001354AB"/>
    <w:rsid w:val="00136AD8"/>
    <w:rsid w:val="0014038B"/>
    <w:rsid w:val="00140A57"/>
    <w:rsid w:val="0014736A"/>
    <w:rsid w:val="00161815"/>
    <w:rsid w:val="00162325"/>
    <w:rsid w:val="00164625"/>
    <w:rsid w:val="00164BFE"/>
    <w:rsid w:val="0017349A"/>
    <w:rsid w:val="0018472D"/>
    <w:rsid w:val="00193AA8"/>
    <w:rsid w:val="00197A72"/>
    <w:rsid w:val="001A145C"/>
    <w:rsid w:val="001A3973"/>
    <w:rsid w:val="001A6BD9"/>
    <w:rsid w:val="001C1C64"/>
    <w:rsid w:val="001C363A"/>
    <w:rsid w:val="0020052A"/>
    <w:rsid w:val="00231B68"/>
    <w:rsid w:val="00243A13"/>
    <w:rsid w:val="00246FAF"/>
    <w:rsid w:val="00271A1E"/>
    <w:rsid w:val="00273B3C"/>
    <w:rsid w:val="0028037C"/>
    <w:rsid w:val="002816CB"/>
    <w:rsid w:val="00295BA5"/>
    <w:rsid w:val="002A138B"/>
    <w:rsid w:val="002A1727"/>
    <w:rsid w:val="002A2EE7"/>
    <w:rsid w:val="002B0E4A"/>
    <w:rsid w:val="002B2877"/>
    <w:rsid w:val="002C2405"/>
    <w:rsid w:val="002C7EBD"/>
    <w:rsid w:val="002D62AF"/>
    <w:rsid w:val="002E4A9A"/>
    <w:rsid w:val="002E5A1A"/>
    <w:rsid w:val="002E7A43"/>
    <w:rsid w:val="003124B3"/>
    <w:rsid w:val="00333B7A"/>
    <w:rsid w:val="003424F7"/>
    <w:rsid w:val="00344DD1"/>
    <w:rsid w:val="003512C9"/>
    <w:rsid w:val="00363357"/>
    <w:rsid w:val="00390188"/>
    <w:rsid w:val="003973A2"/>
    <w:rsid w:val="003A6218"/>
    <w:rsid w:val="003B4C4F"/>
    <w:rsid w:val="003B5F3A"/>
    <w:rsid w:val="003B6547"/>
    <w:rsid w:val="003B7A5E"/>
    <w:rsid w:val="003D400A"/>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08C0"/>
    <w:rsid w:val="00485822"/>
    <w:rsid w:val="00490F50"/>
    <w:rsid w:val="00497C56"/>
    <w:rsid w:val="004A4555"/>
    <w:rsid w:val="004A555E"/>
    <w:rsid w:val="004B08C4"/>
    <w:rsid w:val="004B541F"/>
    <w:rsid w:val="004B674B"/>
    <w:rsid w:val="004C4912"/>
    <w:rsid w:val="004C6E57"/>
    <w:rsid w:val="004E2E30"/>
    <w:rsid w:val="004E40F0"/>
    <w:rsid w:val="004E4CA3"/>
    <w:rsid w:val="004E7007"/>
    <w:rsid w:val="004F0B86"/>
    <w:rsid w:val="00500998"/>
    <w:rsid w:val="00511E06"/>
    <w:rsid w:val="005139FC"/>
    <w:rsid w:val="0052260F"/>
    <w:rsid w:val="00524DA5"/>
    <w:rsid w:val="00526DBD"/>
    <w:rsid w:val="00543DF4"/>
    <w:rsid w:val="00544812"/>
    <w:rsid w:val="00545B75"/>
    <w:rsid w:val="00550AA5"/>
    <w:rsid w:val="00550E19"/>
    <w:rsid w:val="00553ADE"/>
    <w:rsid w:val="0056120D"/>
    <w:rsid w:val="00567F16"/>
    <w:rsid w:val="00582CCB"/>
    <w:rsid w:val="00584D73"/>
    <w:rsid w:val="00592A1B"/>
    <w:rsid w:val="0059329D"/>
    <w:rsid w:val="005A2510"/>
    <w:rsid w:val="005B0288"/>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D7A40"/>
    <w:rsid w:val="006F5316"/>
    <w:rsid w:val="007071CF"/>
    <w:rsid w:val="00721B3E"/>
    <w:rsid w:val="00722FE9"/>
    <w:rsid w:val="00724F08"/>
    <w:rsid w:val="007378E2"/>
    <w:rsid w:val="00742A15"/>
    <w:rsid w:val="0077694E"/>
    <w:rsid w:val="00781082"/>
    <w:rsid w:val="00792848"/>
    <w:rsid w:val="007A1071"/>
    <w:rsid w:val="007A2D13"/>
    <w:rsid w:val="007A3584"/>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8C9"/>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7366F"/>
    <w:rsid w:val="00974836"/>
    <w:rsid w:val="00993790"/>
    <w:rsid w:val="009943E1"/>
    <w:rsid w:val="00995693"/>
    <w:rsid w:val="009A64EE"/>
    <w:rsid w:val="009B22ED"/>
    <w:rsid w:val="009B2C0B"/>
    <w:rsid w:val="009C0313"/>
    <w:rsid w:val="009D07E2"/>
    <w:rsid w:val="009D40ED"/>
    <w:rsid w:val="009D49BE"/>
    <w:rsid w:val="009E0861"/>
    <w:rsid w:val="009E41F7"/>
    <w:rsid w:val="00A0224B"/>
    <w:rsid w:val="00A13E40"/>
    <w:rsid w:val="00A14343"/>
    <w:rsid w:val="00A22273"/>
    <w:rsid w:val="00A30C52"/>
    <w:rsid w:val="00A310E9"/>
    <w:rsid w:val="00A364BA"/>
    <w:rsid w:val="00A462CB"/>
    <w:rsid w:val="00A5061A"/>
    <w:rsid w:val="00A54163"/>
    <w:rsid w:val="00A54E21"/>
    <w:rsid w:val="00A67498"/>
    <w:rsid w:val="00A742D1"/>
    <w:rsid w:val="00A87924"/>
    <w:rsid w:val="00A96933"/>
    <w:rsid w:val="00A96CE5"/>
    <w:rsid w:val="00AA00D3"/>
    <w:rsid w:val="00AA090B"/>
    <w:rsid w:val="00AA261E"/>
    <w:rsid w:val="00AA38A5"/>
    <w:rsid w:val="00AC1379"/>
    <w:rsid w:val="00AC333A"/>
    <w:rsid w:val="00AD25D5"/>
    <w:rsid w:val="00AD62AD"/>
    <w:rsid w:val="00AF3B6B"/>
    <w:rsid w:val="00B05E6F"/>
    <w:rsid w:val="00B06EC7"/>
    <w:rsid w:val="00B15570"/>
    <w:rsid w:val="00B2198B"/>
    <w:rsid w:val="00B2355E"/>
    <w:rsid w:val="00B263C5"/>
    <w:rsid w:val="00B27BBC"/>
    <w:rsid w:val="00B30925"/>
    <w:rsid w:val="00B372BE"/>
    <w:rsid w:val="00B44777"/>
    <w:rsid w:val="00B67355"/>
    <w:rsid w:val="00B71740"/>
    <w:rsid w:val="00B73847"/>
    <w:rsid w:val="00B7393F"/>
    <w:rsid w:val="00B761B1"/>
    <w:rsid w:val="00B80C28"/>
    <w:rsid w:val="00BB6EE3"/>
    <w:rsid w:val="00BC1C04"/>
    <w:rsid w:val="00BC4882"/>
    <w:rsid w:val="00BC55D2"/>
    <w:rsid w:val="00BD06FC"/>
    <w:rsid w:val="00BD4705"/>
    <w:rsid w:val="00BD5DBE"/>
    <w:rsid w:val="00BE678B"/>
    <w:rsid w:val="00BF1AC9"/>
    <w:rsid w:val="00BF3FAD"/>
    <w:rsid w:val="00C0033F"/>
    <w:rsid w:val="00C0131C"/>
    <w:rsid w:val="00C05CDF"/>
    <w:rsid w:val="00C153EC"/>
    <w:rsid w:val="00C30FD6"/>
    <w:rsid w:val="00C31FEE"/>
    <w:rsid w:val="00C41D86"/>
    <w:rsid w:val="00C54EF3"/>
    <w:rsid w:val="00C55FFC"/>
    <w:rsid w:val="00C56B73"/>
    <w:rsid w:val="00C75CE0"/>
    <w:rsid w:val="00C920D4"/>
    <w:rsid w:val="00CA7627"/>
    <w:rsid w:val="00CB6F8B"/>
    <w:rsid w:val="00CC10B4"/>
    <w:rsid w:val="00CC68E1"/>
    <w:rsid w:val="00CD4339"/>
    <w:rsid w:val="00CD4B46"/>
    <w:rsid w:val="00CD6D0D"/>
    <w:rsid w:val="00CD7611"/>
    <w:rsid w:val="00CE1BE1"/>
    <w:rsid w:val="00CE46B3"/>
    <w:rsid w:val="00CE50F9"/>
    <w:rsid w:val="00CF11EE"/>
    <w:rsid w:val="00CF1B14"/>
    <w:rsid w:val="00CF432B"/>
    <w:rsid w:val="00CF7899"/>
    <w:rsid w:val="00D0433F"/>
    <w:rsid w:val="00D05740"/>
    <w:rsid w:val="00D13875"/>
    <w:rsid w:val="00D15D07"/>
    <w:rsid w:val="00D160F2"/>
    <w:rsid w:val="00D31C36"/>
    <w:rsid w:val="00D342D7"/>
    <w:rsid w:val="00D357E1"/>
    <w:rsid w:val="00D37CDC"/>
    <w:rsid w:val="00D45BDF"/>
    <w:rsid w:val="00D51426"/>
    <w:rsid w:val="00D51C81"/>
    <w:rsid w:val="00D55306"/>
    <w:rsid w:val="00D55429"/>
    <w:rsid w:val="00D62C09"/>
    <w:rsid w:val="00D6548F"/>
    <w:rsid w:val="00D65D0C"/>
    <w:rsid w:val="00D666D4"/>
    <w:rsid w:val="00D7239D"/>
    <w:rsid w:val="00D75FAE"/>
    <w:rsid w:val="00D76EA4"/>
    <w:rsid w:val="00D77F63"/>
    <w:rsid w:val="00D81CB3"/>
    <w:rsid w:val="00D9114A"/>
    <w:rsid w:val="00D932AD"/>
    <w:rsid w:val="00D94092"/>
    <w:rsid w:val="00DA11C0"/>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61E1"/>
    <w:rsid w:val="00EA7E26"/>
    <w:rsid w:val="00EB7128"/>
    <w:rsid w:val="00EE29F6"/>
    <w:rsid w:val="00EF7F0F"/>
    <w:rsid w:val="00F0434B"/>
    <w:rsid w:val="00F05A41"/>
    <w:rsid w:val="00F14384"/>
    <w:rsid w:val="00F401C1"/>
    <w:rsid w:val="00F44957"/>
    <w:rsid w:val="00F71364"/>
    <w:rsid w:val="00F71DED"/>
    <w:rsid w:val="00F72D12"/>
    <w:rsid w:val="00F96789"/>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0B80-F7DA-4521-BF0A-C1AFB31F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2018-11-07T01:19:00Z</cp:lastPrinted>
  <dcterms:created xsi:type="dcterms:W3CDTF">2019-02-14T18:40:00Z</dcterms:created>
  <dcterms:modified xsi:type="dcterms:W3CDTF">2019-02-18T15:48:00Z</dcterms:modified>
</cp:coreProperties>
</file>